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9" w:name="statement-of-work"/>
    <w:p>
      <w:pPr>
        <w:pStyle w:val="Heading1"/>
      </w:pPr>
      <w:r>
        <w:t xml:space="preserve">Statement of Work</w:t>
      </w:r>
    </w:p>
    <w:p>
      <w:pPr>
        <w:pStyle w:val="FirstParagraph"/>
      </w:pPr>
      <w:r>
        <w:t xml:space="preserve">This Statement of Work (</w:t>
      </w:r>
      <w:r>
        <w:rPr>
          <w:bCs/>
          <w:b/>
        </w:rPr>
        <w:t xml:space="preserve">SoW</w:t>
      </w:r>
      <w:r>
        <w:t xml:space="preserve">) is made by and between SixtyFPS GmbH with offices at Oranienburger Str. 44, 16540 Hohen Neuendorf, Germany (</w:t>
      </w:r>
      <w:r>
        <w:rPr>
          <w:bCs/>
          <w:b/>
        </w:rPr>
        <w:t xml:space="preserve">SixtyFPS</w:t>
      </w:r>
      <w:r>
        <w:t xml:space="preserve">) and</w:t>
      </w:r>
      <w:r>
        <w:t xml:space="preserve"> </w:t>
      </w:r>
      <w:r>
        <w:rPr>
          <w:iCs/>
          <w:i/>
        </w:rPr>
        <w:t xml:space="preserve">Name of Company</w:t>
      </w:r>
      <w:r>
        <w:t xml:space="preserve"> </w:t>
      </w:r>
      <w:r>
        <w:t xml:space="preserve">with offices at</w:t>
      </w:r>
      <w:r>
        <w:t xml:space="preserve"> </w:t>
      </w:r>
      <w:r>
        <w:rPr>
          <w:iCs/>
          <w:i/>
        </w:rPr>
        <w:t xml:space="preserve">office address</w:t>
      </w:r>
      <w:r>
        <w:t xml:space="preserve"> </w:t>
      </w:r>
      <w:r>
        <w:t xml:space="preserve">(</w:t>
      </w:r>
      <w:r>
        <w:rPr>
          <w:bCs/>
          <w:b/>
        </w:rPr>
        <w:t xml:space="preserve">Customer</w:t>
      </w:r>
      <w:r>
        <w:t xml:space="preserve">) and is pursuant to the Slint Premium Support Services Agreement concluded between SixtyFPS and Customer.</w:t>
      </w:r>
    </w:p>
    <w:p>
      <w:pPr>
        <w:pStyle w:val="BodyText"/>
      </w:pPr>
      <w:r>
        <w:t xml:space="preserve">Each Party to this SoW may be referred to herein individually as a</w:t>
      </w:r>
      <w:r>
        <w:t xml:space="preserve"> </w:t>
      </w:r>
      <w:r>
        <w:rPr>
          <w:bCs/>
          <w:b/>
        </w:rPr>
        <w:t xml:space="preserve">Party</w:t>
      </w:r>
      <w:r>
        <w:t xml:space="preserve"> </w:t>
      </w:r>
      <w:r>
        <w:t xml:space="preserve">or collectively as the</w:t>
      </w:r>
      <w:r>
        <w:t xml:space="preserve"> </w:t>
      </w:r>
      <w:r>
        <w:rPr>
          <w:bCs/>
          <w:b/>
        </w:rPr>
        <w:t xml:space="preserve">Parties</w:t>
      </w:r>
      <w:r>
        <w:t xml:space="preserve">.</w:t>
      </w:r>
    </w:p>
    <w:bookmarkStart w:id="20" w:name="X7bd3e5c2e98f05e530bf954d0935967e56790b7"/>
    <w:p>
      <w:pPr>
        <w:pStyle w:val="Heading2"/>
      </w:pPr>
      <w:r>
        <w:t xml:space="preserve">1. Representatives</w:t>
      </w:r>
    </w:p>
    <w:p>
      <w:pPr>
        <w:pStyle w:val="FirstParagraph"/>
      </w:pPr>
      <w:r>
        <w:t xml:space="preserve">(a) Customer's Representative</w:t>
      </w:r>
    </w:p>
    <w:p>
      <w:pPr>
        <w:pStyle w:val="BodyText"/>
      </w:pPr>
      <w:r>
        <w:t xml:space="preserve">i. Name:</w:t>
      </w:r>
    </w:p>
    <w:p>
      <w:pPr>
        <w:pStyle w:val="BodyText"/>
      </w:pPr>
      <w:r>
        <w:t xml:space="preserve">ii. E-Mail:</w:t>
      </w:r>
    </w:p>
    <w:p>
      <w:pPr>
        <w:pStyle w:val="BodyText"/>
      </w:pPr>
      <w:r>
        <w:t xml:space="preserve">iii. Phone:</w:t>
      </w:r>
    </w:p>
    <w:p>
      <w:pPr>
        <w:pStyle w:val="BodyText"/>
      </w:pPr>
      <w:r>
        <w:t xml:space="preserve">(b) SixtyFPS's Representative</w:t>
      </w:r>
    </w:p>
    <w:p>
      <w:pPr>
        <w:pStyle w:val="BodyText"/>
      </w:pPr>
      <w:r>
        <w:t xml:space="preserve">i. Name:</w:t>
      </w:r>
    </w:p>
    <w:p>
      <w:pPr>
        <w:pStyle w:val="BodyText"/>
      </w:pPr>
      <w:r>
        <w:t xml:space="preserve">ii. E-Mail:</w:t>
      </w:r>
    </w:p>
    <w:p>
      <w:pPr>
        <w:pStyle w:val="BodyText"/>
      </w:pPr>
      <w:r>
        <w:t xml:space="preserve">iii. Phone:</w:t>
      </w:r>
    </w:p>
    <w:bookmarkEnd w:id="20"/>
    <w:bookmarkStart w:id="21" w:name="Xb66d8751654b4b3bfdfa8df98730d37eb4be826"/>
    <w:p>
      <w:pPr>
        <w:pStyle w:val="Heading2"/>
      </w:pPr>
      <w:r>
        <w:t xml:space="preserve">2. Scope</w:t>
      </w:r>
    </w:p>
    <w:p>
      <w:pPr>
        <w:pStyle w:val="FirstParagraph"/>
      </w:pPr>
      <w:r>
        <w:t xml:space="preserve">{Scope of Work}</w:t>
      </w:r>
    </w:p>
    <w:bookmarkEnd w:id="21"/>
    <w:bookmarkStart w:id="22" w:name="Xca3cc1371d91345a2ee9972ee3623e8b5507f69"/>
    <w:p>
      <w:pPr>
        <w:pStyle w:val="Heading2"/>
      </w:pPr>
      <w:r>
        <w:t xml:space="preserve">3. Consulting Services to be performed</w:t>
      </w:r>
    </w:p>
    <w:p>
      <w:pPr>
        <w:pStyle w:val="FirstParagraph"/>
      </w:pPr>
      <w:r>
        <w:t xml:space="preserve">The Consulting Services under this SoW will be provided on a time and materials basis. The estimate of such time and materials necessary for performance of Consulting Services (</w:t>
      </w:r>
      <w:r>
        <w:rPr>
          <w:bCs/>
          <w:b/>
        </w:rPr>
        <w:t xml:space="preserve">T&amp;M Estimate</w:t>
      </w:r>
      <w:r>
        <w:t xml:space="preserve">) includes implementation, review, and testing. The T&amp;M Estimate in the table below is provided in</w:t>
      </w:r>
      <w:r>
        <w:t xml:space="preserve"> </w:t>
      </w:r>
      <w:r>
        <w:rPr>
          <w:bCs/>
          <w:b/>
        </w:rPr>
        <w:t xml:space="preserve">Man-Days</w:t>
      </w:r>
      <w:r>
        <w:t xml:space="preserve">, each Man-Day being an 8-hour period of a standard work day of one Full Time Equivalent (</w:t>
      </w:r>
      <w:r>
        <w:rPr>
          <w:bCs/>
          <w:b/>
        </w:rPr>
        <w:t xml:space="preserve">FTE</w:t>
      </w:r>
      <w:r>
        <w:t xml:space="preserve">) consultant.</w:t>
      </w:r>
    </w:p>
    <w:tbl>
      <w:tblPr>
        <w:tblStyle w:val="Table"/>
        <w:tblW w:type="auto" w:w="0"/>
        <w:tblLook w:firstRow="1" w:lastRow="0" w:firstColumn="0" w:lastColumn="0" w:noHBand="0" w:noVBand="0" w:val="0020"/>
        <w:jc w:val="start"/>
      </w:tblPr>
      <w:tblGrid>
        <w:gridCol w:w="1980"/>
        <w:gridCol w:w="1980"/>
        <w:gridCol w:w="1980"/>
        <w:gridCol w:w="1980"/>
      </w:tblGrid>
      <w:tr>
        <w:trPr>
          <w:tblHeader w:val="true"/>
        </w:trPr>
        <w:tc>
          <w:tcPr/>
          <w:p>
            <w:pPr>
              <w:pStyle w:val="Compact"/>
              <w:jc w:val="left"/>
            </w:pPr>
            <w:r>
              <w:t xml:space="preserve">Item</w:t>
            </w:r>
          </w:p>
        </w:tc>
        <w:tc>
          <w:tcPr/>
          <w:p>
            <w:pPr>
              <w:pStyle w:val="Compact"/>
              <w:jc w:val="left"/>
            </w:pPr>
            <w:r>
              <w:t xml:space="preserve">Type of Service</w:t>
            </w:r>
          </w:p>
        </w:tc>
        <w:tc>
          <w:tcPr/>
          <w:p>
            <w:pPr>
              <w:pStyle w:val="Compact"/>
              <w:jc w:val="left"/>
            </w:pPr>
            <w:r>
              <w:t xml:space="preserve">Description</w:t>
            </w:r>
          </w:p>
        </w:tc>
        <w:tc>
          <w:tcPr/>
          <w:p>
            <w:pPr>
              <w:pStyle w:val="Compact"/>
              <w:jc w:val="left"/>
            </w:pPr>
            <w:r>
              <w:t xml:space="preserve">T&amp;M Estimate</w:t>
            </w:r>
          </w:p>
        </w:tc>
      </w:tr>
      <w:tr>
        <w:tc>
          <w:tcPr/>
          <w:p>
            <w:pPr>
              <w:pStyle w:val="Compact"/>
            </w:pPr>
          </w:p>
        </w:tc>
        <w:tc>
          <w:tcPr/>
          <w:p>
            <w:pPr>
              <w:pStyle w:val="Compact"/>
              <w:jc w:val="left"/>
            </w:pPr>
            <w:r>
              <w:t xml:space="preserve">Implementation</w:t>
            </w:r>
          </w:p>
        </w:tc>
        <w:tc>
          <w:tcPr/>
          <w:p>
            <w:pPr>
              <w:pStyle w:val="Compact"/>
            </w:pPr>
          </w:p>
        </w:tc>
        <w:tc>
          <w:tcPr/>
          <w:p>
            <w:pPr>
              <w:pStyle w:val="Compact"/>
              <w:jc w:val="left"/>
            </w:pPr>
            <w:r>
              <w:t xml:space="preserve">0</w:t>
            </w:r>
          </w:p>
        </w:tc>
      </w:tr>
      <w:tr>
        <w:tc>
          <w:tcPr/>
          <w:p>
            <w:pPr>
              <w:pStyle w:val="Compact"/>
            </w:pPr>
          </w:p>
        </w:tc>
        <w:tc>
          <w:tcPr/>
          <w:p>
            <w:pPr>
              <w:pStyle w:val="Compact"/>
              <w:jc w:val="left"/>
            </w:pPr>
            <w:r>
              <w:t xml:space="preserve">Coaching / Training</w:t>
            </w:r>
          </w:p>
        </w:tc>
        <w:tc>
          <w:tcPr/>
          <w:p>
            <w:pPr>
              <w:pStyle w:val="Compact"/>
            </w:pPr>
          </w:p>
        </w:tc>
        <w:tc>
          <w:tcPr/>
          <w:p>
            <w:pPr>
              <w:pStyle w:val="Compact"/>
              <w:jc w:val="left"/>
            </w:pPr>
            <w:r>
              <w:t xml:space="preserve">0</w:t>
            </w:r>
          </w:p>
        </w:tc>
      </w:tr>
    </w:tbl>
    <w:bookmarkEnd w:id="22"/>
    <w:bookmarkStart w:id="23" w:name="Xbabf4b8f25b5a7d8917988bc646b87c4c2b1681"/>
    <w:p>
      <w:pPr>
        <w:pStyle w:val="Heading2"/>
      </w:pPr>
      <w:r>
        <w:t xml:space="preserve">4. Work Schedule</w:t>
      </w:r>
    </w:p>
    <w:p>
      <w:pPr>
        <w:pStyle w:val="FirstParagraph"/>
      </w:pPr>
      <w:r>
        <w:t xml:space="preserve">The Consulting Services under this SoW will be distributed over a period. For ease of scheduling tasks and to avoid overheads of context switching, both Parties agree to schedule the work items related to the Consulting Services in blocks of 5 working days (equivalent to a work week).</w:t>
      </w:r>
    </w:p>
    <w:tbl>
      <w:tblPr>
        <w:tblStyle w:val="Table"/>
        <w:tblW w:type="auto" w:w="0"/>
        <w:tblLook w:firstRow="1" w:lastRow="0" w:firstColumn="0" w:lastColumn="0" w:noHBand="0" w:noVBand="0" w:val="0020"/>
        <w:jc w:val="start"/>
      </w:tblPr>
      <w:tblGrid>
        <w:gridCol w:w="1131"/>
        <w:gridCol w:w="1131"/>
        <w:gridCol w:w="1131"/>
        <w:gridCol w:w="1131"/>
        <w:gridCol w:w="1131"/>
        <w:gridCol w:w="1131"/>
        <w:gridCol w:w="1131"/>
      </w:tblGrid>
      <w:tr>
        <w:trPr>
          <w:tblHeader w:val="true"/>
        </w:trPr>
        <w:tc>
          <w:tcPr/>
          <w:p>
            <w:pPr>
              <w:pStyle w:val="Compact"/>
              <w:jc w:val="left"/>
            </w:pPr>
            <w:r>
              <w:t xml:space="preserve">Type of Service</w:t>
            </w:r>
          </w:p>
        </w:tc>
        <w:tc>
          <w:tcPr/>
          <w:p>
            <w:pPr>
              <w:pStyle w:val="Compact"/>
              <w:jc w:val="left"/>
            </w:pPr>
            <w:r>
              <w:t xml:space="preserve">M1</w:t>
            </w:r>
          </w:p>
        </w:tc>
        <w:tc>
          <w:tcPr/>
          <w:p>
            <w:pPr>
              <w:pStyle w:val="Compact"/>
              <w:jc w:val="left"/>
            </w:pPr>
            <w:r>
              <w:t xml:space="preserve">M2</w:t>
            </w:r>
          </w:p>
        </w:tc>
        <w:tc>
          <w:tcPr/>
          <w:p>
            <w:pPr>
              <w:pStyle w:val="Compact"/>
              <w:jc w:val="left"/>
            </w:pPr>
            <w:r>
              <w:t xml:space="preserve">M3</w:t>
            </w:r>
          </w:p>
        </w:tc>
        <w:tc>
          <w:tcPr/>
          <w:p>
            <w:pPr>
              <w:pStyle w:val="Compact"/>
              <w:jc w:val="left"/>
            </w:pPr>
            <w:r>
              <w:t xml:space="preserve">M4</w:t>
            </w:r>
          </w:p>
        </w:tc>
        <w:tc>
          <w:tcPr/>
          <w:p>
            <w:pPr>
              <w:pStyle w:val="Compact"/>
              <w:jc w:val="left"/>
            </w:pPr>
            <w:r>
              <w:t xml:space="preserve">M5</w:t>
            </w:r>
          </w:p>
        </w:tc>
        <w:tc>
          <w:tcPr/>
          <w:p>
            <w:pPr>
              <w:pStyle w:val="Compact"/>
              <w:jc w:val="left"/>
            </w:pPr>
            <w:r>
              <w:t xml:space="preserve">Total</w:t>
            </w:r>
          </w:p>
        </w:tc>
      </w:tr>
      <w:tr>
        <w:tc>
          <w:tcPr/>
          <w:p>
            <w:pPr>
              <w:pStyle w:val="Compact"/>
              <w:jc w:val="left"/>
            </w:pPr>
            <w:r>
              <w:t xml:space="preserve">Implementation</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Coaching / Training</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r>
    </w:tbl>
    <w:bookmarkEnd w:id="23"/>
    <w:bookmarkStart w:id="24" w:name="Xcd028ffec60ef23f3bb8e43b6e1b29b5ee08902"/>
    <w:p>
      <w:pPr>
        <w:pStyle w:val="Heading2"/>
      </w:pPr>
      <w:r>
        <w:t xml:space="preserve">5. Consultants assigned</w:t>
      </w:r>
    </w:p>
    <w:p>
      <w:pPr>
        <w:pStyle w:val="FirstParagraph"/>
      </w:pPr>
      <w:r>
        <w:t xml:space="preserve">(a) Personnel:</w:t>
      </w:r>
    </w:p>
    <w:p>
      <w:pPr>
        <w:pStyle w:val="BodyText"/>
      </w:pPr>
      <w:r>
        <w:t xml:space="preserve">(b) Subcontractors: None</w:t>
      </w:r>
    </w:p>
    <w:bookmarkEnd w:id="24"/>
    <w:bookmarkStart w:id="25" w:name="X7bbf5e777fbce509099a3bb4f88f35ca1e9d276"/>
    <w:p>
      <w:pPr>
        <w:pStyle w:val="Heading2"/>
      </w:pPr>
      <w:r>
        <w:t xml:space="preserve">6. Fees</w:t>
      </w:r>
    </w:p>
    <w:p>
      <w:pPr>
        <w:pStyle w:val="FirstParagraph"/>
      </w:pPr>
      <w:r>
        <w:t xml:space="preserve">(a) The Fees for Consulting Services under this SoW follow a progressive pricing model. This means that rates apply incrementally as days accumulate, rather than applying one rate to the entire duration. The fees for one FTE are outlined in the table below and are valid for 12 months from the start of the SoW.</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 Period</w:t>
            </w:r>
          </w:p>
        </w:tc>
        <w:tc>
          <w:tcPr/>
          <w:p>
            <w:pPr>
              <w:pStyle w:val="Compact"/>
              <w:jc w:val="left"/>
            </w:pPr>
            <w:r>
              <w:t xml:space="preserve"># Working Days</w:t>
            </w:r>
          </w:p>
        </w:tc>
        <w:tc>
          <w:tcPr/>
          <w:p>
            <w:pPr>
              <w:pStyle w:val="Compact"/>
              <w:jc w:val="left"/>
            </w:pPr>
            <w:r>
              <w:t xml:space="preserve">Fee per day</w:t>
            </w:r>
          </w:p>
        </w:tc>
      </w:tr>
      <w:tr>
        <w:tc>
          <w:tcPr/>
          <w:p>
            <w:pPr>
              <w:pStyle w:val="Compact"/>
              <w:jc w:val="left"/>
            </w:pPr>
            <w:r>
              <w:t xml:space="preserve">1</w:t>
            </w:r>
          </w:p>
        </w:tc>
        <w:tc>
          <w:tcPr/>
          <w:p>
            <w:pPr>
              <w:pStyle w:val="Compact"/>
              <w:jc w:val="left"/>
            </w:pPr>
            <w:r>
              <w:t xml:space="preserve">1 - 44 days</w:t>
            </w:r>
          </w:p>
        </w:tc>
        <w:tc>
          <w:tcPr/>
          <w:p>
            <w:pPr>
              <w:pStyle w:val="Compact"/>
              <w:jc w:val="left"/>
            </w:pPr>
            <w:r>
              <w:t xml:space="preserve">XXX</w:t>
            </w:r>
          </w:p>
        </w:tc>
      </w:tr>
      <w:tr>
        <w:tc>
          <w:tcPr/>
          <w:p>
            <w:pPr>
              <w:pStyle w:val="Compact"/>
              <w:jc w:val="left"/>
            </w:pPr>
            <w:r>
              <w:t xml:space="preserve">2</w:t>
            </w:r>
          </w:p>
        </w:tc>
        <w:tc>
          <w:tcPr/>
          <w:p>
            <w:pPr>
              <w:pStyle w:val="Compact"/>
              <w:jc w:val="left"/>
            </w:pPr>
            <w:r>
              <w:t xml:space="preserve">45 - 88 days</w:t>
            </w:r>
          </w:p>
        </w:tc>
        <w:tc>
          <w:tcPr/>
          <w:p>
            <w:pPr>
              <w:pStyle w:val="Compact"/>
              <w:jc w:val="left"/>
            </w:pPr>
            <w:r>
              <w:t xml:space="preserve">YYY</w:t>
            </w:r>
          </w:p>
        </w:tc>
      </w:tr>
      <w:tr>
        <w:tc>
          <w:tcPr/>
          <w:p>
            <w:pPr>
              <w:pStyle w:val="Compact"/>
              <w:jc w:val="left"/>
            </w:pPr>
            <w:r>
              <w:t xml:space="preserve">3</w:t>
            </w:r>
          </w:p>
        </w:tc>
        <w:tc>
          <w:tcPr/>
          <w:p>
            <w:pPr>
              <w:pStyle w:val="Compact"/>
              <w:jc w:val="left"/>
            </w:pPr>
            <w:r>
              <w:t xml:space="preserve">89 days or more</w:t>
            </w:r>
          </w:p>
        </w:tc>
        <w:tc>
          <w:tcPr/>
          <w:p>
            <w:pPr>
              <w:pStyle w:val="Compact"/>
              <w:jc w:val="left"/>
            </w:pPr>
            <w:r>
              <w:t xml:space="preserve">ZZZ</w:t>
            </w:r>
          </w:p>
        </w:tc>
      </w:tr>
    </w:tbl>
    <w:p>
      <w:pPr>
        <w:pStyle w:val="BodyText"/>
      </w:pPr>
      <w:r>
        <w:t xml:space="preserve">(b) The Fees includes the seat license of Slint for the Consultants assigned to deliver the Consulting Services under this SoW.</w:t>
      </w:r>
    </w:p>
    <w:bookmarkEnd w:id="25"/>
    <w:bookmarkStart w:id="26" w:name="X232ce1ea44259324ad93f58ed4c180322b89464"/>
    <w:p>
      <w:pPr>
        <w:pStyle w:val="Heading2"/>
      </w:pPr>
      <w:r>
        <w:t xml:space="preserve">7. Payment Schedule</w:t>
      </w:r>
    </w:p>
    <w:p>
      <w:pPr>
        <w:pStyle w:val="FirstParagraph"/>
      </w:pPr>
      <w:r>
        <w:t xml:space="preserve">(a) Customer shall pay 30% of the applicable Fees as retainer on signing this SoW.</w:t>
      </w:r>
    </w:p>
    <w:p>
      <w:pPr>
        <w:pStyle w:val="BodyText"/>
      </w:pPr>
      <w:r>
        <w:t xml:space="preserve">(b) The remaining Fees will be invoiced at the end of each block of days per work schedule.</w:t>
      </w:r>
    </w:p>
    <w:bookmarkEnd w:id="26"/>
    <w:bookmarkStart w:id="27" w:name="X6f9e9a4fd6fa1916e9ddc740210698a291a183c"/>
    <w:p>
      <w:pPr>
        <w:pStyle w:val="Heading2"/>
      </w:pPr>
      <w:r>
        <w:t xml:space="preserve">8. Steering Group</w:t>
      </w:r>
    </w:p>
    <w:p>
      <w:pPr>
        <w:pStyle w:val="FirstParagraph"/>
      </w:pPr>
      <w:r>
        <w:t xml:space="preserve">The progress of the Consulting Services and the work of the assigned Consultant(s) will be supervised by a steering group consisting of the representatives from both parties. The steering group is to ensure that Consulting Services and deliverables conform to this SoW and to address any concerns arising thereof. The steering group will meet at least once per month or more frequently, if needed.</w:t>
      </w:r>
    </w:p>
    <w:bookmarkEnd w:id="27"/>
    <w:bookmarkStart w:id="28"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Customer</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bl>
    <w:bookmarkEnd w:id="28"/>
    <w:bookmarkEnd w:id="2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2025-07-09T13:19:22Z</dcterms:created>
  <dcterms:modified xsi:type="dcterms:W3CDTF">2025-07-09T13:19:22Z</dcterms:modified>
</cp:coreProperties>
</file>

<file path=docProps/custom.xml><?xml version="1.0" encoding="utf-8"?>
<Properties xmlns="http://schemas.openxmlformats.org/officeDocument/2006/custom-properties" xmlns:vt="http://schemas.openxmlformats.org/officeDocument/2006/docPropsVTypes"/>
</file>